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b/>
          <w:sz w:val="24"/>
          <w:highlight w:val="none"/>
          <w:lang w:val="en-US"/>
        </w:rPr>
      </w:pPr>
      <w:bookmarkStart w:id="0" w:name="OLE_LINK1"/>
      <w:r>
        <w:rPr>
          <w:rFonts w:hint="eastAsia"/>
          <w:b/>
          <w:sz w:val="24"/>
          <w:highlight w:val="none"/>
        </w:rPr>
        <w:t>3GPP TSG-RAN5 Meeting #98</w:t>
      </w:r>
      <w:r>
        <w:rPr>
          <w:b/>
          <w:sz w:val="24"/>
          <w:highlight w:val="none"/>
        </w:rPr>
        <w:tab/>
      </w:r>
      <w:r>
        <w:rPr>
          <w:rFonts w:hint="eastAsia"/>
          <w:b/>
          <w:sz w:val="24"/>
          <w:highlight w:val="none"/>
        </w:rPr>
        <w:t>R5-</w:t>
      </w:r>
      <w:r>
        <w:rPr>
          <w:rFonts w:hint="default"/>
          <w:b/>
          <w:sz w:val="24"/>
          <w:highlight w:val="none"/>
          <w:lang w:val="en-US"/>
        </w:rPr>
        <w:t>230391</w:t>
      </w:r>
    </w:p>
    <w:p>
      <w:pPr>
        <w:pStyle w:val="104"/>
        <w:tabs>
          <w:tab w:val="right" w:pos="9639"/>
        </w:tabs>
        <w:spacing w:after="0"/>
        <w:outlineLvl w:val="0"/>
        <w:rPr>
          <w:b/>
          <w:sz w:val="24"/>
          <w:highlight w:val="none"/>
        </w:rPr>
      </w:pPr>
      <w:r>
        <w:rPr>
          <w:rFonts w:hint="default"/>
          <w:b/>
          <w:sz w:val="24"/>
          <w:highlight w:val="none"/>
          <w:lang w:val="en-US"/>
        </w:rPr>
        <w:t>Athens, Greece, Feb 27th - Mar 3rd, 2023</w:t>
      </w:r>
      <w:r>
        <w:rPr>
          <w:b/>
          <w:sz w:val="24"/>
          <w:highlight w:val="none"/>
        </w:rPr>
        <w:tab/>
      </w:r>
    </w:p>
    <w:p>
      <w:pPr>
        <w:pStyle w:val="104"/>
        <w:tabs>
          <w:tab w:val="right" w:pos="9639"/>
        </w:tabs>
        <w:spacing w:after="0"/>
        <w:rPr>
          <w:b/>
          <w:sz w:val="24"/>
          <w:highlight w:val="none"/>
        </w:rPr>
      </w:pPr>
    </w:p>
    <w:p>
      <w:pPr>
        <w:pStyle w:val="104"/>
        <w:tabs>
          <w:tab w:val="right" w:pos="9639"/>
        </w:tabs>
        <w:spacing w:after="0"/>
        <w:outlineLvl w:val="0"/>
        <w:rPr>
          <w:b/>
          <w:sz w:val="24"/>
          <w:highlight w:val="none"/>
        </w:rPr>
      </w:pPr>
      <w:r>
        <w:rPr>
          <w:rFonts w:hint="eastAsia"/>
          <w:b/>
          <w:sz w:val="24"/>
          <w:highlight w:val="none"/>
        </w:rPr>
        <w:t>3GPP TSG RAN Meeting #99</w:t>
      </w:r>
      <w:r>
        <w:rPr>
          <w:b/>
          <w:sz w:val="24"/>
          <w:highlight w:val="none"/>
        </w:rPr>
        <w:tab/>
      </w:r>
      <w:r>
        <w:rPr>
          <w:b/>
          <w:sz w:val="24"/>
          <w:highlight w:val="yellow"/>
        </w:rPr>
        <w:t>RP-22xxxx</w:t>
      </w:r>
    </w:p>
    <w:p>
      <w:pPr>
        <w:pStyle w:val="104"/>
        <w:tabs>
          <w:tab w:val="right" w:pos="9639"/>
        </w:tabs>
        <w:spacing w:after="0"/>
        <w:outlineLvl w:val="0"/>
        <w:rPr>
          <w:rFonts w:eastAsia="Batang" w:cs="Arial"/>
          <w:sz w:val="18"/>
          <w:szCs w:val="18"/>
          <w:highlight w:val="none"/>
          <w:lang w:eastAsia="zh-CN"/>
        </w:rPr>
      </w:pPr>
      <w:r>
        <w:rPr>
          <w:rFonts w:hint="eastAsia"/>
          <w:b/>
          <w:sz w:val="24"/>
          <w:highlight w:val="none"/>
        </w:rPr>
        <w:t>Rotterdam, Netherlands, Mar 20th - 23rd, 2023</w:t>
      </w:r>
      <w:r>
        <w:rPr>
          <w:b/>
          <w:sz w:val="24"/>
          <w:highlight w:val="none"/>
        </w:rPr>
        <w:tab/>
      </w:r>
      <w:bookmarkEnd w:id="0"/>
    </w:p>
    <w:p>
      <w:pPr>
        <w:pStyle w:val="3"/>
        <w:shd w:val="clear"/>
        <w:jc w:val="center"/>
        <w:rPr>
          <w:highlight w:val="none"/>
          <w:u w:val="single"/>
        </w:rPr>
      </w:pPr>
      <w:r>
        <w:rPr>
          <w:highlight w:val="none"/>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.4.</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ascii="Arial" w:hAnsi="Arial" w:cs="Arial"/>
                <w:highlight w:val="none"/>
              </w:rPr>
              <w:t xml:space="preserve">UE Conformance Test Aspects - </w:t>
            </w:r>
            <w:r>
              <w:rPr>
                <w:rFonts w:hint="eastAsia" w:ascii="Arial" w:hAnsi="Arial" w:cs="Arial"/>
                <w:lang w:eastAsia="ja-JP"/>
              </w:rPr>
              <w:t>NB-IoT (Narrowband IoT)/eMTC (enhanced Machine Type Communication) core &amp; performance requirements for Non-Terrestrial Networks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hint="eastAsia" w:ascii="Arial" w:hAnsi="Arial" w:eastAsia="宋体" w:cs="Arial"/>
                <w:lang w:val="en-US" w:eastAsia="zh-CN"/>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LTE_NBIOT_eMTC_NTN_req-UEConTest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981034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cs="Arial"/>
                <w:lang w:val="en-US" w:eastAsia="ja-JP"/>
              </w:rPr>
            </w:pPr>
            <w:r>
              <w:rPr>
                <w:rFonts w:hint="default" w:ascii="Arial" w:hAnsi="Arial" w:cs="Arial"/>
                <w:lang w:val="en-US" w:eastAsia="ja-JP"/>
              </w:rPr>
              <w:fldChar w:fldCharType="begin"/>
            </w:r>
            <w:r>
              <w:rPr>
                <w:rFonts w:hint="default" w:ascii="Arial" w:hAnsi="Arial" w:cs="Arial"/>
                <w:lang w:val="en-US" w:eastAsia="ja-JP"/>
              </w:rPr>
              <w:instrText xml:space="preserve"> HYPERLINK "http://www.3gpp.org/ftp/tsg_ran/TSG_RAN/TSGR_96/Docs/RP-223064.zip" </w:instrText>
            </w:r>
            <w:r>
              <w:rPr>
                <w:rFonts w:hint="default" w:ascii="Arial" w:hAnsi="Arial" w:cs="Arial"/>
                <w:lang w:val="en-US" w:eastAsia="ja-JP"/>
              </w:rPr>
              <w:fldChar w:fldCharType="separate"/>
            </w:r>
            <w:r>
              <w:rPr>
                <w:rStyle w:val="57"/>
                <w:rFonts w:hint="default" w:ascii="Arial" w:hAnsi="Arial" w:cs="Arial"/>
                <w:lang w:val="en-US" w:eastAsia="ja-JP"/>
              </w:rPr>
              <w:t>RP-223064</w:t>
            </w:r>
            <w:r>
              <w:rPr>
                <w:rFonts w:hint="default" w:ascii="Arial" w:hAnsi="Arial" w:cs="Arial"/>
                <w:lang w:val="en-US"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hint="default" w:ascii="Arial" w:hAnsi="Arial" w:eastAsia="宋体" w:cs="Arial"/>
                <w:color w:val="00B050"/>
                <w:kern w:val="2"/>
                <w:sz w:val="21"/>
                <w:szCs w:val="22"/>
                <w:highlight w:val="none"/>
                <w:lang w:val="en-US" w:eastAsia="zh-CN" w:bidi="ar-SA"/>
              </w:rPr>
              <w:t>Dec</w:t>
            </w:r>
            <w:r>
              <w:rPr>
                <w:rFonts w:hint="default" w:ascii="Arial" w:hAnsi="Arial" w:eastAsia="宋体" w:cs="Arial"/>
                <w:color w:val="00B050"/>
                <w:kern w:val="2"/>
                <w:sz w:val="21"/>
                <w:szCs w:val="22"/>
                <w:highlight w:val="none"/>
                <w:lang w:val="en-US" w:eastAsia="ja-JP" w:bidi="ar-SA"/>
              </w:rPr>
              <w:t>.</w:t>
            </w:r>
            <w:r>
              <w:rPr>
                <w:rFonts w:hint="eastAsia" w:ascii="Arial" w:hAnsi="Arial" w:eastAsia="宋体" w:cs="Arial"/>
                <w:color w:val="00B050"/>
                <w:kern w:val="2"/>
                <w:sz w:val="21"/>
                <w:szCs w:val="22"/>
                <w:highlight w:val="none"/>
                <w:lang w:val="en-US" w:eastAsia="zh-CN" w:bidi="ar-SA"/>
              </w:rPr>
              <w:t xml:space="preserve"> </w:t>
            </w:r>
            <w:r>
              <w:rPr>
                <w:rFonts w:hint="eastAsia" w:ascii="Arial" w:hAnsi="Arial" w:eastAsia="宋体" w:cs="Arial"/>
                <w:color w:val="00B050"/>
                <w:kern w:val="2"/>
                <w:sz w:val="21"/>
                <w:szCs w:val="22"/>
                <w:highlight w:val="none"/>
                <w:lang w:val="en-US" w:eastAsia="ja-JP" w:bidi="ar-SA"/>
              </w:rPr>
              <w:t>20</w:t>
            </w:r>
            <w:r>
              <w:rPr>
                <w:rFonts w:hint="eastAsia" w:ascii="Arial" w:hAnsi="Arial" w:eastAsia="宋体" w:cs="Arial"/>
                <w:color w:val="00B050"/>
                <w:kern w:val="2"/>
                <w:sz w:val="21"/>
                <w:szCs w:val="22"/>
                <w:highlight w:val="none"/>
                <w:lang w:val="en-US" w:eastAsia="zh-CN" w:bidi="ar-SA"/>
              </w:rPr>
              <w:t>2</w:t>
            </w:r>
            <w:r>
              <w:rPr>
                <w:rFonts w:hint="default" w:ascii="Arial" w:hAnsi="Arial" w:eastAsia="宋体" w:cs="Arial"/>
                <w:color w:val="00B050"/>
                <w:kern w:val="2"/>
                <w:sz w:val="21"/>
                <w:szCs w:val="22"/>
                <w:highlight w:val="none"/>
                <w:lang w:val="en-US" w:eastAsia="zh-CN"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default" w:ascii="Arial" w:hAnsi="Arial" w:eastAsia="宋体" w:cs="Arial"/>
                <w:highlight w:val="yellow"/>
                <w:lang w:val="en-US" w:eastAsia="zh-CN"/>
              </w:rPr>
            </w:pPr>
            <w:r>
              <w:rPr>
                <w:rFonts w:ascii="Arial" w:hAnsi="Arial" w:cs="Arial"/>
                <w:lang w:eastAsia="ja-JP"/>
              </w:rPr>
              <w:t xml:space="preserve">Testing part: </w:t>
            </w:r>
            <w:r>
              <w:rPr>
                <w:rFonts w:hint="default" w:ascii="Arial" w:hAnsi="Arial" w:eastAsia="宋体" w:cs="Arial"/>
                <w:color w:val="00B050"/>
                <w:kern w:val="2"/>
                <w:sz w:val="21"/>
                <w:szCs w:val="22"/>
                <w:highlight w:val="none"/>
                <w:lang w:val="en-US" w:eastAsia="zh-CN" w:bidi="ar-SA"/>
              </w:rPr>
              <w:t>30</w:t>
            </w:r>
            <w:r>
              <w:rPr>
                <w:rFonts w:hint="default" w:ascii="Arial" w:hAnsi="Arial" w:eastAsia="宋体" w:cs="Arial"/>
                <w:color w:val="00B050"/>
                <w:kern w:val="2"/>
                <w:sz w:val="21"/>
                <w:szCs w:val="22"/>
                <w:highlight w:val="none"/>
                <w:lang w:val="en-GB" w:eastAsia="ja-JP" w:bidi="ar-SA"/>
              </w:rPr>
              <w:t>%</w:t>
            </w:r>
            <w:r>
              <w:rPr>
                <w:rFonts w:hint="eastAsia" w:ascii="Arial" w:hAnsi="Arial" w:eastAsia="宋体" w:cs="Arial"/>
                <w:color w:val="00B050"/>
                <w:kern w:val="2"/>
                <w:sz w:val="21"/>
                <w:szCs w:val="22"/>
                <w:highlight w:val="none"/>
                <w:lang w:val="en-US" w:eastAsia="zh-CN" w:bidi="ar-SA"/>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r>
              <w:rPr>
                <w:rFonts w:hint="default" w:ascii="Arial" w:hAnsi="Arial" w:cs="Arial"/>
                <w:lang w:val="en-US"/>
              </w:rPr>
              <w:t>,</w:t>
            </w:r>
            <w:r>
              <w:rPr>
                <w:rFonts w:hint="eastAsia" w:ascii="Arial" w:hAnsi="Arial" w:cs="Arial"/>
              </w:rPr>
              <w:t xml:space="preserve"> Danbo Fu (MediaTek)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eastAsia="ja-JP"/>
              </w:rPr>
            </w:pPr>
            <w:r>
              <w:rPr>
                <w:rFonts w:hint="eastAsia" w:ascii="Arial" w:hAnsi="Arial" w:cs="Arial"/>
              </w:rPr>
              <w:t>CMCC, MediaTek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hint="default" w:ascii="Arial" w:hAnsi="Arial" w:eastAsia="等线" w:cs="Arial"/>
                <w:lang w:val="en-US"/>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Style w:val="57"/>
                <w:rFonts w:hint="default" w:ascii="Arial" w:hAnsi="Arial" w:cs="Arial"/>
                <w:lang w:val="en-US"/>
              </w:rPr>
              <w:t xml:space="preserve">, </w:t>
            </w:r>
            <w:r>
              <w:rPr>
                <w:rStyle w:val="57"/>
                <w:rFonts w:hint="default" w:ascii="Arial" w:hAnsi="Arial" w:cs="Arial"/>
                <w:lang w:val="en-US"/>
              </w:rPr>
              <w:fldChar w:fldCharType="begin"/>
            </w:r>
            <w:r>
              <w:rPr>
                <w:rStyle w:val="57"/>
                <w:rFonts w:hint="default" w:ascii="Arial" w:hAnsi="Arial" w:cs="Arial"/>
                <w:lang w:val="en-US"/>
              </w:rPr>
              <w:instrText xml:space="preserve"> HYPERLINK "Danbo.Fu@mediatek.com" </w:instrText>
            </w:r>
            <w:r>
              <w:rPr>
                <w:rStyle w:val="57"/>
                <w:rFonts w:hint="default" w:ascii="Arial" w:hAnsi="Arial" w:cs="Arial"/>
                <w:lang w:val="en-US"/>
              </w:rPr>
              <w:fldChar w:fldCharType="separate"/>
            </w:r>
            <w:r>
              <w:rPr>
                <w:rStyle w:val="57"/>
                <w:rFonts w:hint="default" w:ascii="Arial" w:hAnsi="Arial" w:cs="Arial"/>
                <w:lang w:val="en-US"/>
              </w:rPr>
              <w:t>Danbo.Fu@mediatek.com</w:t>
            </w:r>
            <w:r>
              <w:rPr>
                <w:rStyle w:val="57"/>
                <w:rFonts w:hint="default" w:ascii="Arial" w:hAnsi="Arial" w:cs="Arial"/>
                <w:lang w:val="en-US"/>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outlineLvl w:val="0"/>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Lines="50"/>
        <w:rPr>
          <w:rFonts w:ascii="Arial" w:hAnsi="Arial" w:cs="Arial"/>
          <w:highlight w:val="none"/>
          <w:lang w:eastAsia="ja-JP"/>
        </w:rPr>
      </w:pPr>
      <w:r>
        <w:rPr>
          <w:rFonts w:ascii="Arial" w:hAnsi="Arial" w:cs="Arial"/>
          <w:highlight w:val="none"/>
        </w:rPr>
        <w:t>Status after RAN5#9</w:t>
      </w:r>
      <w:r>
        <w:rPr>
          <w:rFonts w:hint="default" w:ascii="Arial" w:hAnsi="Arial" w:cs="Arial" w:eastAsiaTheme="minorEastAsia"/>
          <w:highlight w:val="none"/>
          <w:lang w:val="en-US"/>
        </w:rPr>
        <w:t>8</w:t>
      </w:r>
      <w:r>
        <w:rPr>
          <w:rFonts w:ascii="Arial" w:hAnsi="Arial" w:cs="Arial"/>
          <w:highlight w:val="none"/>
        </w:rPr>
        <w:t xml:space="preserve"> (the details can be found in </w:t>
      </w:r>
      <w:r>
        <w:rPr>
          <w:rFonts w:ascii="Arial" w:hAnsi="Arial" w:cs="Arial"/>
          <w:highlight w:val="none"/>
          <w:lang w:eastAsia="ja-JP"/>
        </w:rPr>
        <w:t>R5-</w:t>
      </w:r>
      <w:r>
        <w:rPr>
          <w:rFonts w:hint="eastAsia" w:ascii="Arial" w:hAnsi="Arial" w:cs="Arial"/>
          <w:highlight w:val="none"/>
          <w:lang w:eastAsia="ja-JP"/>
        </w:rPr>
        <w:t>230392</w:t>
      </w:r>
      <w:r>
        <w:rPr>
          <w:rFonts w:ascii="Arial" w:hAnsi="Arial" w:cs="Arial"/>
          <w:highlight w:val="none"/>
        </w:rPr>
        <w:t>):</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default" w:ascii="Arial" w:hAnsi="Arial" w:eastAsia="等线" w:cs="Arial"/>
          <w:highlight w:val="none"/>
          <w:lang w:val="en-US" w:eastAsia="zh-CN"/>
        </w:rPr>
        <w:t>30</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test environment, </w:t>
      </w:r>
      <w:r>
        <w:rPr>
          <w:rFonts w:hint="eastAsia" w:ascii="Arial" w:hAnsi="Arial" w:eastAsia="宋体" w:cs="Arial"/>
          <w:highlight w:val="none"/>
          <w:lang w:val="en-US" w:eastAsia="zh-CN"/>
        </w:rPr>
        <w:t>5</w:t>
      </w:r>
      <w:r>
        <w:rPr>
          <w:rFonts w:hint="default" w:ascii="Arial" w:hAnsi="Arial" w:cs="Arial"/>
          <w:highlight w:val="none"/>
          <w:lang w:val="en-US"/>
        </w:rPr>
        <w:t xml:space="preserve"> 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highlight w:val="none"/>
        </w:rPr>
        <w:t>For</w:t>
      </w:r>
      <w:r>
        <w:rPr>
          <w:rFonts w:ascii="Arial" w:hAnsi="Arial" w:cs="Arial"/>
          <w:highlight w:val="none"/>
        </w:rPr>
        <w:t xml:space="preserve"> </w:t>
      </w:r>
      <w:r>
        <w:rPr>
          <w:rFonts w:hint="default" w:ascii="Arial" w:hAnsi="Arial" w:cs="Arial"/>
          <w:highlight w:val="none"/>
          <w:lang w:val="en-US"/>
        </w:rPr>
        <w:t>test applicability and</w:t>
      </w:r>
      <w:r>
        <w:rPr>
          <w:rFonts w:ascii="Arial" w:hAnsi="Arial" w:cs="Arial"/>
          <w:highlight w:val="none"/>
        </w:rPr>
        <w:t xml:space="preserve"> </w:t>
      </w:r>
      <w:r>
        <w:rPr>
          <w:rFonts w:hint="default" w:ascii="Arial" w:hAnsi="Arial" w:cs="Arial"/>
          <w:highlight w:val="none"/>
          <w:lang w:val="en-US"/>
        </w:rPr>
        <w:t>ICS</w:t>
      </w:r>
      <w:r>
        <w:rPr>
          <w:rFonts w:ascii="Arial" w:hAnsi="Arial" w:cs="Arial"/>
          <w:highlight w:val="none"/>
        </w:rPr>
        <w:t>,</w:t>
      </w:r>
      <w:r>
        <w:rPr>
          <w:rFonts w:hint="default" w:ascii="Arial" w:hAnsi="Arial" w:cs="Arial"/>
          <w:highlight w:val="none"/>
          <w:lang w:val="en-US"/>
        </w:rPr>
        <w:t xml:space="preserve"> </w:t>
      </w:r>
      <w:r>
        <w:rPr>
          <w:rFonts w:hint="eastAsia"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Tdocs</w:t>
      </w:r>
      <w:r>
        <w:rPr>
          <w:rFonts w:hint="eastAsia" w:ascii="Arial" w:hAnsi="Arial" w:cs="Arial" w:eastAsiaTheme="minorEastAsia"/>
          <w:highlight w:val="none"/>
        </w:rPr>
        <w:t xml:space="preserve"> w</w:t>
      </w:r>
      <w:r>
        <w:rPr>
          <w:rFonts w:hint="eastAsia" w:ascii="Arial" w:hAnsi="Arial" w:cs="Arial" w:eastAsiaTheme="minorEastAsia"/>
          <w:highlight w:val="none"/>
          <w:lang w:val="en-US" w:eastAsia="zh-CN"/>
        </w:rPr>
        <w:t>ere</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RRM</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hint="default" w:ascii="Arial" w:hAnsi="Arial" w:cs="Arial"/>
          <w:highlight w:val="none"/>
          <w:lang w:val="en-US"/>
        </w:rPr>
        <w:t xml:space="preserve">Tdocs </w:t>
      </w:r>
      <w:r>
        <w:rPr>
          <w:rFonts w:hint="eastAsia" w:ascii="Arial" w:hAnsi="Arial" w:cs="Arial" w:eastAsiaTheme="minorEastAsia"/>
          <w:highlight w:val="none"/>
        </w:rPr>
        <w:t>were agreed</w:t>
      </w:r>
      <w:r>
        <w:rPr>
          <w:rFonts w:hint="default" w:ascii="Arial" w:hAnsi="Arial" w:cs="Arial" w:eastAsiaTheme="minorEastAsia"/>
          <w:highlight w:val="none"/>
          <w:lang w:val="en-US"/>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RF/Demod conformance test cases</w:t>
      </w:r>
      <w:r>
        <w:rPr>
          <w:rFonts w:hint="eastAsia" w:ascii="Arial" w:hAnsi="Arial" w:cs="Arial" w:eastAsiaTheme="minorEastAsia"/>
          <w:highlight w:val="none"/>
        </w:rPr>
        <w:t xml:space="preserve">, </w:t>
      </w:r>
      <w:r>
        <w:rPr>
          <w:rFonts w:hint="default" w:ascii="Arial" w:hAnsi="Arial" w:cs="Arial" w:eastAsiaTheme="minorEastAsia"/>
          <w:highlight w:val="none"/>
          <w:lang w:val="en-US" w:eastAsia="zh-CN"/>
        </w:rPr>
        <w:t>12</w:t>
      </w:r>
      <w:r>
        <w:rPr>
          <w:rFonts w:hint="eastAsia" w:ascii="Arial" w:hAnsi="Arial" w:cs="Arial" w:eastAsiaTheme="minorEastAsia"/>
          <w:highlight w:val="none"/>
        </w:rPr>
        <w:t xml:space="preserve"> </w:t>
      </w:r>
      <w:r>
        <w:rPr>
          <w:rFonts w:hint="default" w:ascii="Arial" w:hAnsi="Arial" w:cs="Arial"/>
          <w:highlight w:val="none"/>
          <w:lang w:val="en-US"/>
        </w:rPr>
        <w:t xml:space="preserve">Tdocs </w:t>
      </w:r>
      <w:r>
        <w:rPr>
          <w:rFonts w:hint="eastAsia" w:ascii="Arial" w:hAnsi="Arial" w:cs="Arial" w:eastAsiaTheme="minorEastAsia"/>
          <w:highlight w:val="none"/>
        </w:rPr>
        <w:t>were agreed</w:t>
      </w:r>
      <w:r>
        <w:rPr>
          <w:rFonts w:hint="default" w:ascii="Arial" w:hAnsi="Arial" w:cs="Arial" w:eastAsiaTheme="minorEastAsia"/>
          <w:highlight w:val="none"/>
          <w:lang w:val="en-US"/>
        </w:rPr>
        <w:t>.</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w:t>
      </w:r>
      <w:r>
        <w:rPr>
          <w:rFonts w:hint="eastAsia" w:ascii="Arial" w:hAnsi="Arial" w:cs="Arial"/>
          <w:highlight w:val="none"/>
        </w:rPr>
        <w:t>RF Baseline Implementation Capabilities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hint="default" w:ascii="Arial" w:hAnsi="Arial" w:cs="Arial"/>
          <w:highlight w:val="none"/>
          <w:lang w:val="en-US"/>
        </w:rPr>
        <w:t xml:space="preserve">Tdocs </w:t>
      </w:r>
      <w:r>
        <w:rPr>
          <w:rFonts w:hint="eastAsia" w:ascii="Arial" w:hAnsi="Arial" w:cs="Arial" w:eastAsiaTheme="minorEastAsia"/>
          <w:highlight w:val="none"/>
        </w:rPr>
        <w:t>were agreed</w:t>
      </w:r>
      <w:r>
        <w:rPr>
          <w:rFonts w:hint="default" w:ascii="Arial" w:hAnsi="Arial" w:cs="Arial" w:eastAsiaTheme="minorEastAsia"/>
          <w:highlight w:val="none"/>
          <w:lang w:val="en-US"/>
        </w:rPr>
        <w:t>.</w:t>
      </w:r>
    </w:p>
    <w:p>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default" w:ascii="Arial" w:hAnsi="Arial" w:eastAsia="宋体" w:cs="Arial"/>
          <w:highlight w:val="none"/>
          <w:lang w:val="en-US" w:eastAsia="zh-CN"/>
        </w:rPr>
        <w:t>TT&amp;MU</w:t>
      </w:r>
      <w:r>
        <w:rPr>
          <w:rFonts w:ascii="Arial" w:hAnsi="Arial" w:cs="Arial"/>
          <w:highlight w:val="none"/>
        </w:rPr>
        <w:t xml:space="preserve">, </w:t>
      </w:r>
      <w:r>
        <w:rPr>
          <w:rFonts w:hint="default" w:ascii="Arial" w:hAnsi="Arial" w:eastAsia="宋体" w:cs="Arial"/>
          <w:highlight w:val="none"/>
          <w:lang w:val="en-US" w:eastAsia="zh-CN"/>
        </w:rPr>
        <w:t>2</w:t>
      </w:r>
      <w:r>
        <w:rPr>
          <w:rFonts w:ascii="Arial" w:hAnsi="Arial" w:cs="Arial"/>
          <w:highlight w:val="none"/>
        </w:rPr>
        <w:t xml:space="preserve"> </w:t>
      </w:r>
      <w:r>
        <w:rPr>
          <w:rFonts w:hint="default" w:ascii="Arial" w:hAnsi="Arial" w:cs="Arial"/>
          <w:highlight w:val="none"/>
          <w:lang w:val="en-US"/>
        </w:rPr>
        <w:t>Tdocs</w:t>
      </w:r>
      <w:r>
        <w:rPr>
          <w:rFonts w:ascii="Arial" w:hAnsi="Arial" w:cs="Arial"/>
          <w:highlight w:val="none"/>
        </w:rPr>
        <w:t xml:space="preserve"> were agreed.</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rPr>
        <w:t>test points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hint="default" w:ascii="Arial" w:hAnsi="Arial" w:cs="Arial"/>
          <w:highlight w:val="none"/>
          <w:lang w:val="en-US"/>
        </w:rPr>
        <w:t xml:space="preserve">Tdoc </w:t>
      </w:r>
      <w:r>
        <w:rPr>
          <w:rFonts w:ascii="Arial" w:hAnsi="Arial" w:cs="Arial"/>
          <w:highlight w:val="none"/>
        </w:rPr>
        <w:t>w</w:t>
      </w:r>
      <w:r>
        <w:rPr>
          <w:rFonts w:hint="eastAsia" w:ascii="Arial" w:hAnsi="Arial" w:eastAsia="宋体" w:cs="Arial"/>
          <w:highlight w:val="none"/>
          <w:lang w:val="en-US" w:eastAsia="zh-CN"/>
        </w:rPr>
        <w:t>as</w:t>
      </w:r>
      <w:r>
        <w:rPr>
          <w:rFonts w:ascii="Arial" w:hAnsi="Arial" w:cs="Arial"/>
          <w:highlight w:val="none"/>
        </w:rPr>
        <w:t xml:space="preserve"> agreed</w:t>
      </w:r>
      <w:r>
        <w:rPr>
          <w:rFonts w:hint="eastAsia" w:ascii="Arial" w:hAnsi="Arial" w:cs="Arial" w:eastAsiaTheme="minorEastAsia"/>
          <w:highlight w:val="none"/>
        </w:rPr>
        <w:t>.</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ascii="Arial" w:hAnsi="Arial" w:cs="Arial" w:eastAsiaTheme="minorEastAsia"/>
          <w:highlight w:val="none"/>
        </w:rPr>
        <w:t>R5-</w:t>
      </w:r>
      <w:r>
        <w:rPr>
          <w:rFonts w:hint="eastAsia" w:ascii="Arial" w:hAnsi="Arial" w:cs="Arial" w:eastAsiaTheme="minorEastAsia"/>
          <w:highlight w:val="none"/>
        </w:rPr>
        <w:t>230392</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WP Rel-18 NB-IoT_eMTC NTN after RAN5#98, CMCC</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R5-230411</w:t>
      </w:r>
      <w:r>
        <w:rPr>
          <w:rFonts w:hint="default" w:ascii="Arial" w:hAnsi="Arial" w:cs="Arial" w:eastAsiaTheme="minorEastAsia"/>
          <w:highlight w:val="none"/>
          <w:lang w:val="en-US"/>
        </w:rPr>
        <w:t xml:space="preserve"> Revised WID on UE Conformance - NB-IoT (Narrowband IoT)/eMTC (enhanced Machine Type Communication) core &amp; performance requirements for Non-Terrestrial Networks (NTN)</w:t>
      </w:r>
      <w:r>
        <w:rPr>
          <w:rFonts w:hint="eastAsia" w:ascii="Arial" w:hAnsi="Arial" w:cs="Arial" w:eastAsiaTheme="minorEastAsia"/>
          <w:highlight w:val="none"/>
        </w:rPr>
        <w:t>, CMCC, MediaTek Inc.</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R5-230413</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Discussion on handling of R18 NB-IoT/eMTC NTN RF/Performance/RRM WI, CMCC, MediaTek Inc., Bureau Veritas</w:t>
      </w:r>
    </w:p>
    <w:p>
      <w:pPr>
        <w:overflowPunct/>
        <w:autoSpaceDE/>
        <w:autoSpaceDN/>
        <w:snapToGrid w:val="0"/>
        <w:spacing w:after="0"/>
        <w:textAlignment w:val="auto"/>
        <w:rPr>
          <w:rFonts w:ascii="Arial" w:hAnsi="Arial" w:cs="Arial" w:eastAsiaTheme="minorEastAsia"/>
          <w:highlight w:val="yellow"/>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hint="default" w:ascii="Arial" w:hAnsi="Arial" w:eastAsia="宋体" w:cs="Arial"/>
          <w:b/>
          <w:highlight w:val="none"/>
          <w:lang w:val="en-US"/>
        </w:rPr>
        <w:t>6</w:t>
      </w:r>
      <w:r>
        <w:rPr>
          <w:rFonts w:hint="eastAsia" w:ascii="Arial" w:hAnsi="Arial" w:eastAsia="宋体" w:cs="Arial"/>
          <w:b/>
          <w:highlight w:val="none"/>
        </w:rPr>
        <w:t>.5</w:t>
      </w:r>
      <w:r>
        <w:rPr>
          <w:rFonts w:hint="eastAsia" w:ascii="Arial" w:hAnsi="Arial" w:eastAsia="宋体" w:cs="Arial"/>
          <w:b/>
          <w:highlight w:val="none"/>
          <w:lang w:val="en-US" w:eastAsia="zh-CN"/>
        </w:rPr>
        <w:t>08</w:t>
      </w:r>
      <w:r>
        <w:rPr>
          <w:rFonts w:hint="eastAsia" w:ascii="Arial" w:hAnsi="Arial" w:eastAsia="宋体" w:cs="Arial"/>
          <w:b/>
          <w:highlight w:val="none"/>
        </w:rPr>
        <w:t xml:space="preserve"> CRs</w:t>
      </w:r>
    </w:p>
    <w:p>
      <w:pPr>
        <w:numPr>
          <w:ilvl w:val="0"/>
          <w:numId w:val="7"/>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R5-230395</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Addition of eMTC NTN FDD reference test freqs for operating band 255 and 256</w:t>
      </w:r>
      <w:r>
        <w:rPr>
          <w:rFonts w:hint="default" w:ascii="Arial" w:hAnsi="Arial" w:cs="Arial" w:eastAsiaTheme="minorEastAsia"/>
          <w:highlight w:val="none"/>
          <w:lang w:val="en-US"/>
        </w:rPr>
        <w:t>, CMCC</w:t>
      </w:r>
    </w:p>
    <w:p>
      <w:pPr>
        <w:numPr>
          <w:ilvl w:val="0"/>
          <w:numId w:val="7"/>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w:t>
      </w:r>
      <w:r>
        <w:rPr>
          <w:rFonts w:hint="default" w:ascii="Arial" w:hAnsi="Arial" w:cs="Arial" w:eastAsiaTheme="minorEastAsia"/>
          <w:highlight w:val="none"/>
          <w:lang w:val="en-US"/>
        </w:rPr>
        <w:t>2011</w:t>
      </w:r>
      <w:bookmarkStart w:id="1" w:name="_GoBack"/>
      <w:bookmarkEnd w:id="1"/>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Addition of NB-IoT NTN FDD reference test freqs for operating band 255 and 256</w:t>
      </w:r>
      <w:r>
        <w:rPr>
          <w:rFonts w:hint="default" w:ascii="Arial" w:hAnsi="Arial" w:cs="Arial" w:eastAsiaTheme="minorEastAsia"/>
          <w:highlight w:val="none"/>
          <w:lang w:val="en-US"/>
        </w:rPr>
        <w:t>, CMCC</w:t>
      </w:r>
    </w:p>
    <w:p>
      <w:pPr>
        <w:numPr>
          <w:ilvl w:val="0"/>
          <w:numId w:val="7"/>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R5-230397</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Update to reference of E-UTRA common test environment for IoT-NTN</w:t>
      </w:r>
      <w:r>
        <w:rPr>
          <w:rFonts w:hint="default" w:ascii="Arial" w:hAnsi="Arial" w:cs="Arial" w:eastAsiaTheme="minorEastAsia"/>
          <w:highlight w:val="none"/>
          <w:lang w:val="en-US"/>
        </w:rPr>
        <w:t>, CMCC</w:t>
      </w:r>
    </w:p>
    <w:p>
      <w:pPr>
        <w:numPr>
          <w:ilvl w:val="0"/>
          <w:numId w:val="7"/>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R5-231561</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Addition of eMTC NTN SIG test freqs</w:t>
      </w:r>
      <w:r>
        <w:rPr>
          <w:rFonts w:hint="default" w:ascii="Arial" w:hAnsi="Arial" w:cs="Arial" w:eastAsiaTheme="minorEastAsia"/>
          <w:highlight w:val="none"/>
          <w:lang w:val="en-US"/>
        </w:rPr>
        <w:t>, CMCC</w:t>
      </w:r>
    </w:p>
    <w:p>
      <w:pPr>
        <w:numPr>
          <w:ilvl w:val="0"/>
          <w:numId w:val="7"/>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R5-23156</w:t>
      </w:r>
      <w:r>
        <w:rPr>
          <w:rFonts w:hint="eastAsia" w:ascii="Arial" w:hAnsi="Arial" w:cs="Arial" w:eastAsiaTheme="minorEastAsia"/>
          <w:highlight w:val="none"/>
          <w:lang w:val="en-US" w:eastAsia="zh-CN"/>
        </w:rPr>
        <w:t xml:space="preserve">2 </w:t>
      </w:r>
      <w:r>
        <w:rPr>
          <w:rFonts w:hint="eastAsia" w:ascii="Arial" w:hAnsi="Arial" w:cs="Arial" w:eastAsiaTheme="minorEastAsia"/>
          <w:highlight w:val="none"/>
        </w:rPr>
        <w:t>Addition of NB-IoT NTN SIG test freqs</w:t>
      </w:r>
      <w:r>
        <w:rPr>
          <w:rFonts w:hint="default" w:ascii="Arial" w:hAnsi="Arial" w:cs="Arial" w:eastAsiaTheme="minorEastAsia"/>
          <w:highlight w:val="none"/>
          <w:lang w:val="en-US"/>
        </w:rPr>
        <w:t>, CMCC</w:t>
      </w:r>
    </w:p>
    <w:p>
      <w:pPr>
        <w:numPr>
          <w:ilvl w:val="0"/>
          <w:numId w:val="0"/>
        </w:numPr>
        <w:tabs>
          <w:tab w:val="left" w:pos="567"/>
        </w:tabs>
        <w:overflowPunct/>
        <w:autoSpaceDE/>
        <w:autoSpaceDN/>
        <w:snapToGrid w:val="0"/>
        <w:spacing w:after="0"/>
        <w:textAlignment w:val="auto"/>
        <w:rPr>
          <w:rFonts w:hint="eastAsia" w:ascii="Arial" w:hAnsi="Arial" w:cs="Arial" w:eastAsiaTheme="minorEastAsia"/>
          <w:highlight w:val="yellow"/>
          <w:lang w:val="en-US"/>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hint="default" w:ascii="Arial" w:hAnsi="Arial" w:eastAsia="宋体" w:cs="Arial"/>
          <w:b/>
          <w:highlight w:val="none"/>
          <w:lang w:val="en-US"/>
        </w:rPr>
        <w:t>6</w:t>
      </w:r>
      <w:r>
        <w:rPr>
          <w:rFonts w:hint="eastAsia" w:ascii="Arial" w:hAnsi="Arial" w:eastAsia="宋体" w:cs="Arial"/>
          <w:b/>
          <w:highlight w:val="none"/>
        </w:rPr>
        <w:t>.5</w:t>
      </w:r>
      <w:r>
        <w:rPr>
          <w:rFonts w:hint="default" w:ascii="Arial" w:hAnsi="Arial" w:eastAsia="宋体" w:cs="Arial"/>
          <w:b/>
          <w:highlight w:val="none"/>
          <w:lang w:val="en-US" w:eastAsia="zh-CN"/>
        </w:rPr>
        <w:t>21</w:t>
      </w:r>
      <w:r>
        <w:rPr>
          <w:rFonts w:hint="eastAsia" w:ascii="Arial" w:hAnsi="Arial" w:eastAsia="宋体" w:cs="Arial"/>
          <w:b/>
          <w:highlight w:val="none"/>
        </w:rPr>
        <w:t>-</w:t>
      </w:r>
      <w:r>
        <w:rPr>
          <w:rFonts w:hint="eastAsia" w:ascii="Arial" w:hAnsi="Arial" w:eastAsia="宋体" w:cs="Arial"/>
          <w:b/>
          <w:highlight w:val="none"/>
          <w:lang w:val="en-US" w:eastAsia="zh-CN"/>
        </w:rPr>
        <w:t>2</w:t>
      </w:r>
      <w:r>
        <w:rPr>
          <w:rFonts w:hint="eastAsia" w:ascii="Arial" w:hAnsi="Arial" w:eastAsia="宋体" w:cs="Arial"/>
          <w:b/>
          <w:highlight w:val="none"/>
        </w:rPr>
        <w:t xml:space="preserve"> CRs</w:t>
      </w:r>
    </w:p>
    <w:p>
      <w:pPr>
        <w:numPr>
          <w:ilvl w:val="0"/>
          <w:numId w:val="8"/>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R5-230398</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Update to scope and reference of E-UTRA test applicability and ICS for IoT-NTN</w:t>
      </w:r>
      <w:r>
        <w:rPr>
          <w:rFonts w:hint="default" w:ascii="Arial" w:hAnsi="Arial" w:cs="Arial" w:eastAsiaTheme="minorEastAsia"/>
          <w:highlight w:val="none"/>
          <w:lang w:val="en-US"/>
        </w:rPr>
        <w:t>, CMCC</w:t>
      </w:r>
    </w:p>
    <w:p>
      <w:pPr>
        <w:numPr>
          <w:ilvl w:val="0"/>
          <w:numId w:val="8"/>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R5-231829</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Option 3 for Disc on handling of R18 NB-IoT/eMTC NTN RF Perf RRM WI</w:t>
      </w:r>
      <w:r>
        <w:rPr>
          <w:rFonts w:hint="default" w:ascii="Arial" w:hAnsi="Arial" w:cs="Arial" w:eastAsiaTheme="minorEastAsia"/>
          <w:highlight w:val="none"/>
          <w:lang w:val="en-US"/>
        </w:rPr>
        <w:t>, CMCC</w:t>
      </w:r>
    </w:p>
    <w:p>
      <w:pPr>
        <w:overflowPunct/>
        <w:autoSpaceDE/>
        <w:autoSpaceDN/>
        <w:snapToGrid w:val="0"/>
        <w:spacing w:after="0"/>
        <w:textAlignment w:val="auto"/>
        <w:rPr>
          <w:rFonts w:hint="eastAsia" w:ascii="Arial" w:hAnsi="Arial" w:eastAsia="宋体" w:cs="Arial"/>
          <w:b/>
          <w:highlight w:val="yellow"/>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hint="default" w:ascii="Arial" w:hAnsi="Arial" w:eastAsia="宋体" w:cs="Arial"/>
          <w:b/>
          <w:highlight w:val="none"/>
          <w:lang w:val="en-US"/>
        </w:rPr>
        <w:t>6</w:t>
      </w:r>
      <w:r>
        <w:rPr>
          <w:rFonts w:hint="eastAsia" w:ascii="Arial" w:hAnsi="Arial" w:eastAsia="宋体" w:cs="Arial"/>
          <w:b/>
          <w:highlight w:val="none"/>
        </w:rPr>
        <w:t>.521-</w:t>
      </w:r>
      <w:r>
        <w:rPr>
          <w:rFonts w:hint="default" w:ascii="Arial" w:hAnsi="Arial" w:eastAsia="宋体" w:cs="Arial"/>
          <w:b/>
          <w:highlight w:val="none"/>
          <w:lang w:val="en-US"/>
        </w:rPr>
        <w:t>3</w:t>
      </w:r>
      <w:r>
        <w:rPr>
          <w:rFonts w:hint="eastAsia" w:ascii="Arial" w:hAnsi="Arial" w:eastAsia="宋体" w:cs="Arial"/>
          <w:b/>
          <w:highlight w:val="none"/>
        </w:rPr>
        <w:t xml:space="preserve"> CRs</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R5-230399</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Update to abbreviations of E-UTRA RRM TCs for IoT-NTN</w:t>
      </w:r>
      <w:r>
        <w:rPr>
          <w:rFonts w:hint="default" w:ascii="Arial" w:hAnsi="Arial" w:cs="Arial" w:eastAsiaTheme="minorEastAsia"/>
          <w:highlight w:val="none"/>
          <w:lang w:val="en-US"/>
        </w:rPr>
        <w:t>, CMCC</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yellow"/>
        </w:rPr>
      </w:pPr>
      <w:r>
        <w:rPr>
          <w:rFonts w:hint="eastAsia" w:ascii="Arial" w:hAnsi="Arial" w:cs="Arial" w:eastAsiaTheme="minorEastAsia"/>
          <w:highlight w:val="none"/>
        </w:rPr>
        <w:t>R5-230400</w:t>
      </w:r>
      <w:r>
        <w:rPr>
          <w:rFonts w:hint="eastAsia" w:ascii="Arial" w:hAnsi="Arial" w:cs="Arial" w:eastAsiaTheme="minorEastAsia"/>
          <w:highlight w:val="none"/>
          <w:lang w:val="en-US" w:eastAsia="zh-CN"/>
        </w:rPr>
        <w:t xml:space="preserve"> Addition of groups of bands for satellite access TC 3.5.1A, </w:t>
      </w:r>
      <w:r>
        <w:rPr>
          <w:rFonts w:hint="default" w:ascii="Arial" w:hAnsi="Arial" w:cs="Arial" w:eastAsiaTheme="minorEastAsia"/>
          <w:highlight w:val="none"/>
          <w:lang w:val="en-US"/>
        </w:rPr>
        <w:t>CMCC</w:t>
      </w:r>
    </w:p>
    <w:p>
      <w:pPr>
        <w:overflowPunct/>
        <w:autoSpaceDE/>
        <w:autoSpaceDN/>
        <w:snapToGrid w:val="0"/>
        <w:spacing w:after="0"/>
        <w:textAlignment w:val="auto"/>
        <w:rPr>
          <w:rFonts w:hint="eastAsia"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hint="default" w:ascii="Arial" w:hAnsi="Arial" w:eastAsia="宋体" w:cs="Arial"/>
          <w:b/>
          <w:highlight w:val="none"/>
          <w:lang w:val="en-US"/>
        </w:rPr>
        <w:t>6</w:t>
      </w:r>
      <w:r>
        <w:rPr>
          <w:rFonts w:hint="eastAsia" w:ascii="Arial" w:hAnsi="Arial" w:eastAsia="宋体" w:cs="Arial"/>
          <w:b/>
          <w:highlight w:val="none"/>
        </w:rPr>
        <w:t>.521-</w:t>
      </w:r>
      <w:r>
        <w:rPr>
          <w:rFonts w:hint="default" w:ascii="Arial" w:hAnsi="Arial" w:eastAsia="宋体" w:cs="Arial"/>
          <w:b/>
          <w:highlight w:val="none"/>
          <w:lang w:val="en-US"/>
        </w:rPr>
        <w:t>4</w:t>
      </w:r>
      <w:r>
        <w:rPr>
          <w:rFonts w:hint="eastAsia" w:ascii="Arial" w:hAnsi="Arial" w:eastAsia="宋体" w:cs="Arial"/>
          <w:b/>
          <w:highlight w:val="none"/>
        </w:rPr>
        <w:t xml:space="preserve"> CRs</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R5-230406</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TP to add Foreword and Introduction to TS 36.521-4, CMCC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R5-23040</w:t>
      </w:r>
      <w:r>
        <w:rPr>
          <w:rFonts w:hint="eastAsia" w:ascii="Arial" w:hAnsi="Arial" w:cs="Arial" w:eastAsiaTheme="minorEastAsia"/>
          <w:highlight w:val="none"/>
          <w:lang w:val="en-US" w:eastAsia="zh-CN"/>
        </w:rPr>
        <w:t>7</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TP to add clause 1-3 to TS 36.521-4, CMCC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R5-23040</w:t>
      </w:r>
      <w:r>
        <w:rPr>
          <w:rFonts w:hint="eastAsia" w:ascii="Arial" w:hAnsi="Arial" w:cs="Arial" w:eastAsiaTheme="minorEastAsia"/>
          <w:highlight w:val="none"/>
          <w:lang w:val="en-US" w:eastAsia="zh-CN"/>
        </w:rPr>
        <w:t>8</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TP to add clause 4 to TS 36.521-4, CMCC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R5-23040</w:t>
      </w:r>
      <w:r>
        <w:rPr>
          <w:rFonts w:hint="eastAsia" w:ascii="Arial" w:hAnsi="Arial" w:cs="Arial" w:eastAsiaTheme="minorEastAsia"/>
          <w:highlight w:val="none"/>
          <w:lang w:val="en-US" w:eastAsia="zh-CN"/>
        </w:rPr>
        <w:t>9</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TP to add clause 5 to TS 36.521-4, CMCC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R5-2304</w:t>
      </w:r>
      <w:r>
        <w:rPr>
          <w:rFonts w:hint="eastAsia" w:ascii="Arial" w:hAnsi="Arial" w:cs="Arial" w:eastAsiaTheme="minorEastAsia"/>
          <w:highlight w:val="none"/>
          <w:lang w:val="en-US" w:eastAsia="zh-CN"/>
        </w:rPr>
        <w:t>10</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Skeleton for TS 36.521-4 v0.1.0, CMCC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R5-231824</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New addition of RX test case of Maximum input level for category M1 with NTN, Sporton</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R5-231825</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New addition of RX test case of Maximum input level for category NB1 and NB2 with NTN, Sporton</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R5-231826</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New addition of RX test case of Adjacent Channel Selectivity for category M1 with NTN, Sporton</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R5-231827</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New addition of RX test case of Adjacent Channel Selectivity for category NB1 and NB2 with NTN, Sporton</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R5-231868</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Adding new test cases for 36.521-4 transmit power of category M1, MediaTek Beijing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R5-231869</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Adding new test cases for 36.521-4 transmit power of category NB1 and NB2, MediaTek Beijing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R5-230412</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Draft TS 36.521-4 v0.1.0, CMCC</w:t>
      </w:r>
    </w:p>
    <w:p>
      <w:pPr>
        <w:numPr>
          <w:ilvl w:val="0"/>
          <w:numId w:val="0"/>
        </w:numPr>
        <w:tabs>
          <w:tab w:val="left" w:pos="567"/>
        </w:tabs>
        <w:overflowPunct/>
        <w:autoSpaceDE/>
        <w:autoSpaceDN/>
        <w:snapToGrid w:val="0"/>
        <w:spacing w:after="0"/>
        <w:textAlignment w:val="auto"/>
        <w:rPr>
          <w:rFonts w:ascii="Arial" w:hAnsi="Arial" w:eastAsia="Times New Roman" w:cs="Arial"/>
          <w:highlight w:val="yellow"/>
          <w:lang w:eastAsia="ja-JP"/>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hint="default" w:ascii="Arial" w:hAnsi="Arial" w:eastAsia="宋体" w:cs="Arial"/>
          <w:b/>
          <w:highlight w:val="none"/>
          <w:lang w:val="en-US"/>
        </w:rPr>
        <w:t>6</w:t>
      </w:r>
      <w:r>
        <w:rPr>
          <w:rFonts w:hint="eastAsia" w:ascii="Arial" w:hAnsi="Arial" w:eastAsia="宋体" w:cs="Arial"/>
          <w:b/>
          <w:highlight w:val="none"/>
        </w:rPr>
        <w:t>.5</w:t>
      </w:r>
      <w:r>
        <w:rPr>
          <w:rFonts w:hint="default" w:ascii="Arial" w:hAnsi="Arial" w:eastAsia="宋体" w:cs="Arial"/>
          <w:b/>
          <w:highlight w:val="none"/>
          <w:lang w:val="en-US" w:eastAsia="zh-CN"/>
        </w:rPr>
        <w:t>2</w:t>
      </w:r>
      <w:r>
        <w:rPr>
          <w:rFonts w:hint="eastAsia" w:ascii="Arial" w:hAnsi="Arial" w:eastAsia="宋体" w:cs="Arial"/>
          <w:b/>
          <w:highlight w:val="none"/>
          <w:lang w:val="en-US" w:eastAsia="zh-CN"/>
        </w:rPr>
        <w:t>3</w:t>
      </w:r>
      <w:r>
        <w:rPr>
          <w:rFonts w:hint="default" w:ascii="Arial" w:hAnsi="Arial" w:eastAsia="宋体" w:cs="Arial"/>
          <w:b/>
          <w:highlight w:val="none"/>
          <w:lang w:val="en-US" w:eastAsia="zh-CN"/>
        </w:rPr>
        <w:t>-2</w:t>
      </w:r>
      <w:r>
        <w:rPr>
          <w:rFonts w:hint="eastAsia" w:ascii="Arial" w:hAnsi="Arial" w:eastAsia="宋体" w:cs="Arial"/>
          <w:b/>
          <w:highlight w:val="none"/>
        </w:rPr>
        <w:t xml:space="preserve"> CRs</w:t>
      </w:r>
    </w:p>
    <w:p>
      <w:pPr>
        <w:numPr>
          <w:ilvl w:val="0"/>
          <w:numId w:val="11"/>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R5-230404</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Update to scope and reference of E-UTRA SIG applicability for IoT-NTN</w:t>
      </w:r>
      <w:r>
        <w:rPr>
          <w:rFonts w:hint="default" w:ascii="Arial" w:hAnsi="Arial" w:cs="Arial" w:eastAsiaTheme="minorEastAsia"/>
          <w:highlight w:val="none"/>
          <w:lang w:val="en-US"/>
        </w:rPr>
        <w:t>, CMCC</w:t>
      </w:r>
    </w:p>
    <w:p>
      <w:pPr>
        <w:numPr>
          <w:ilvl w:val="0"/>
          <w:numId w:val="11"/>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R5-231563</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Addition of NTN freq bands TC A.4.3.1</w:t>
      </w:r>
      <w:r>
        <w:rPr>
          <w:rFonts w:hint="default" w:ascii="Arial" w:hAnsi="Arial" w:cs="Arial" w:eastAsiaTheme="minorEastAsia"/>
          <w:highlight w:val="none"/>
          <w:lang w:val="en-US"/>
        </w:rPr>
        <w:t>, CMCC</w:t>
      </w:r>
    </w:p>
    <w:p>
      <w:pPr>
        <w:numPr>
          <w:ilvl w:val="0"/>
          <w:numId w:val="0"/>
        </w:numPr>
        <w:tabs>
          <w:tab w:val="left" w:pos="567"/>
        </w:tabs>
        <w:overflowPunct/>
        <w:autoSpaceDE/>
        <w:autoSpaceDN/>
        <w:snapToGrid w:val="0"/>
        <w:spacing w:after="0"/>
        <w:textAlignment w:val="auto"/>
        <w:rPr>
          <w:rFonts w:hint="eastAsia" w:ascii="Arial" w:hAnsi="Arial" w:cs="Arial" w:eastAsiaTheme="minorEastAsia"/>
          <w:highlight w:val="yellow"/>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hint="default" w:ascii="Arial" w:hAnsi="Arial" w:eastAsia="宋体" w:cs="Arial"/>
          <w:b/>
          <w:highlight w:val="none"/>
          <w:lang w:val="en-US"/>
        </w:rPr>
        <w:t>6</w:t>
      </w:r>
      <w:r>
        <w:rPr>
          <w:rFonts w:hint="eastAsia" w:ascii="Arial" w:hAnsi="Arial" w:eastAsia="宋体" w:cs="Arial"/>
          <w:b/>
          <w:highlight w:val="none"/>
        </w:rPr>
        <w:t>.</w:t>
      </w:r>
      <w:r>
        <w:rPr>
          <w:rFonts w:hint="default" w:ascii="Arial" w:hAnsi="Arial" w:eastAsia="宋体" w:cs="Arial"/>
          <w:b/>
          <w:highlight w:val="none"/>
          <w:lang w:val="en-US"/>
        </w:rPr>
        <w:t>904</w:t>
      </w:r>
      <w:r>
        <w:rPr>
          <w:rFonts w:hint="eastAsia" w:ascii="Arial" w:hAnsi="Arial" w:eastAsia="宋体" w:cs="Arial"/>
          <w:b/>
          <w:highlight w:val="none"/>
        </w:rPr>
        <w:t xml:space="preserve"> CRs</w:t>
      </w:r>
    </w:p>
    <w:p>
      <w:pPr>
        <w:numPr>
          <w:ilvl w:val="0"/>
          <w:numId w:val="12"/>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R5-230401</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Update to scope and reference of E-UTRA RF TT and MU for IoT-NTN</w:t>
      </w:r>
      <w:r>
        <w:rPr>
          <w:rFonts w:hint="default" w:ascii="Arial" w:hAnsi="Arial" w:cs="Arial" w:eastAsiaTheme="minorEastAsia"/>
          <w:highlight w:val="none"/>
          <w:lang w:val="en-US"/>
        </w:rPr>
        <w:t>, CMCC</w:t>
      </w:r>
    </w:p>
    <w:p>
      <w:pPr>
        <w:numPr>
          <w:ilvl w:val="0"/>
          <w:numId w:val="12"/>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R5-230402</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Addition of grouping of test cases defined in TS 36.521-4</w:t>
      </w:r>
      <w:r>
        <w:rPr>
          <w:rFonts w:hint="default" w:ascii="Arial" w:hAnsi="Arial" w:cs="Arial" w:eastAsiaTheme="minorEastAsia"/>
          <w:highlight w:val="none"/>
          <w:lang w:val="en-US"/>
        </w:rPr>
        <w:t>, CMCC</w:t>
      </w:r>
    </w:p>
    <w:p>
      <w:pPr>
        <w:numPr>
          <w:ilvl w:val="0"/>
          <w:numId w:val="0"/>
        </w:numPr>
        <w:tabs>
          <w:tab w:val="left" w:pos="567"/>
        </w:tabs>
        <w:overflowPunct/>
        <w:autoSpaceDE/>
        <w:autoSpaceDN/>
        <w:snapToGrid w:val="0"/>
        <w:spacing w:after="0"/>
        <w:textAlignment w:val="auto"/>
        <w:rPr>
          <w:rFonts w:hint="eastAsia" w:ascii="Arial" w:hAnsi="Arial" w:cs="Arial" w:eastAsiaTheme="minorEastAsia"/>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hint="default" w:ascii="Arial" w:hAnsi="Arial" w:eastAsia="宋体" w:cs="Arial"/>
          <w:b/>
          <w:highlight w:val="none"/>
          <w:lang w:val="en-US"/>
        </w:rPr>
        <w:t>6</w:t>
      </w:r>
      <w:r>
        <w:rPr>
          <w:rFonts w:hint="eastAsia" w:ascii="Arial" w:hAnsi="Arial" w:eastAsia="宋体" w:cs="Arial"/>
          <w:b/>
          <w:highlight w:val="none"/>
        </w:rPr>
        <w:t>.</w:t>
      </w:r>
      <w:r>
        <w:rPr>
          <w:rFonts w:hint="default" w:ascii="Arial" w:hAnsi="Arial" w:eastAsia="宋体" w:cs="Arial"/>
          <w:b/>
          <w:highlight w:val="none"/>
          <w:lang w:val="en-US"/>
        </w:rPr>
        <w:t>905</w:t>
      </w:r>
      <w:r>
        <w:rPr>
          <w:rFonts w:hint="eastAsia" w:ascii="Arial" w:hAnsi="Arial" w:eastAsia="宋体" w:cs="Arial"/>
          <w:b/>
          <w:highlight w:val="none"/>
        </w:rPr>
        <w:t xml:space="preserve"> CRs</w:t>
      </w:r>
    </w:p>
    <w:p>
      <w:pPr>
        <w:numPr>
          <w:ilvl w:val="0"/>
          <w:numId w:val="13"/>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R5-230403</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Update to scope and reference of E-UTRA RF test points for IoT-NTN</w:t>
      </w:r>
      <w:r>
        <w:rPr>
          <w:rFonts w:hint="default" w:ascii="Arial" w:hAnsi="Arial" w:cs="Arial" w:eastAsiaTheme="minorEastAsia"/>
          <w:highlight w:val="none"/>
          <w:lang w:val="en-US"/>
        </w:rPr>
        <w:t>, CMCC</w:t>
      </w: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auto"/>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452FAB"/>
    <w:multiLevelType w:val="singleLevel"/>
    <w:tmpl w:val="B4452FAB"/>
    <w:lvl w:ilvl="0" w:tentative="0">
      <w:start w:val="1"/>
      <w:numFmt w:val="decimal"/>
      <w:lvlText w:val="[%1]"/>
      <w:lvlJc w:val="left"/>
      <w:rPr>
        <w:b w:val="0"/>
      </w:rPr>
    </w:lvl>
  </w:abstractNum>
  <w:abstractNum w:abstractNumId="1">
    <w:nsid w:val="BC3CBBE3"/>
    <w:multiLevelType w:val="singleLevel"/>
    <w:tmpl w:val="BC3CBBE3"/>
    <w:lvl w:ilvl="0" w:tentative="0">
      <w:start w:val="1"/>
      <w:numFmt w:val="decimal"/>
      <w:lvlText w:val="[%1]"/>
      <w:lvlJc w:val="left"/>
      <w:rPr>
        <w:b w:val="0"/>
      </w:rPr>
    </w:lvl>
  </w:abstractNum>
  <w:abstractNum w:abstractNumId="2">
    <w:nsid w:val="F3D56593"/>
    <w:multiLevelType w:val="singleLevel"/>
    <w:tmpl w:val="F3D56593"/>
    <w:lvl w:ilvl="0" w:tentative="0">
      <w:start w:val="1"/>
      <w:numFmt w:val="decimal"/>
      <w:lvlText w:val="[%1]"/>
      <w:lvlJc w:val="left"/>
      <w:rPr>
        <w:b w:val="0"/>
      </w:rPr>
    </w:lvl>
  </w:abstractNum>
  <w:abstractNum w:abstractNumId="3">
    <w:nsid w:val="FCA84EEE"/>
    <w:multiLevelType w:val="singleLevel"/>
    <w:tmpl w:val="FCA84EEE"/>
    <w:lvl w:ilvl="0" w:tentative="0">
      <w:start w:val="1"/>
      <w:numFmt w:val="decimal"/>
      <w:lvlText w:val="[%1]"/>
      <w:lvlJc w:val="left"/>
      <w:rPr>
        <w:b w:val="0"/>
      </w:rPr>
    </w:lvl>
  </w:abstractNum>
  <w:abstractNum w:abstractNumId="4">
    <w:nsid w:val="1301A89C"/>
    <w:multiLevelType w:val="singleLevel"/>
    <w:tmpl w:val="1301A89C"/>
    <w:lvl w:ilvl="0" w:tentative="0">
      <w:start w:val="1"/>
      <w:numFmt w:val="decimal"/>
      <w:lvlText w:val="[%1]"/>
      <w:lvlJc w:val="left"/>
      <w:rPr>
        <w:rFonts w:hint="default"/>
        <w:b w:val="0"/>
        <w:highlight w:val="none"/>
      </w:rPr>
    </w:lvl>
  </w:abstractNum>
  <w:abstractNum w:abstractNumId="5">
    <w:nsid w:val="20F442B7"/>
    <w:multiLevelType w:val="singleLevel"/>
    <w:tmpl w:val="20F442B7"/>
    <w:lvl w:ilvl="0" w:tentative="0">
      <w:start w:val="1"/>
      <w:numFmt w:val="decimal"/>
      <w:lvlText w:val="[%1]"/>
      <w:lvlJc w:val="left"/>
      <w:rPr>
        <w:b w:val="0"/>
      </w:rPr>
    </w:lvl>
  </w:abstractNum>
  <w:abstractNum w:abstractNumId="6">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7">
    <w:nsid w:val="2C262341"/>
    <w:multiLevelType w:val="singleLevel"/>
    <w:tmpl w:val="2C262341"/>
    <w:lvl w:ilvl="0" w:tentative="0">
      <w:start w:val="1"/>
      <w:numFmt w:val="decimal"/>
      <w:lvlText w:val="[%1]"/>
      <w:lvlJc w:val="left"/>
      <w:rPr>
        <w:b w:val="0"/>
      </w:rPr>
    </w:lvl>
  </w:abstractNum>
  <w:abstractNum w:abstractNumId="8">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9">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614024BA"/>
    <w:multiLevelType w:val="singleLevel"/>
    <w:tmpl w:val="614024BA"/>
    <w:lvl w:ilvl="0" w:tentative="0">
      <w:start w:val="1"/>
      <w:numFmt w:val="decimal"/>
      <w:lvlText w:val="[%1]"/>
      <w:lvlJc w:val="left"/>
      <w:rPr>
        <w:b w:val="0"/>
      </w:rPr>
    </w:lvl>
  </w:abstractNum>
  <w:abstractNum w:abstractNumId="11">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12">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8"/>
  </w:num>
  <w:num w:numId="3">
    <w:abstractNumId w:val="12"/>
  </w:num>
  <w:num w:numId="4">
    <w:abstractNumId w:val="6"/>
  </w:num>
  <w:num w:numId="5">
    <w:abstractNumId w:val="9"/>
  </w:num>
  <w:num w:numId="6">
    <w:abstractNumId w:val="10"/>
  </w:num>
  <w:num w:numId="7">
    <w:abstractNumId w:val="5"/>
  </w:num>
  <w:num w:numId="8">
    <w:abstractNumId w:val="1"/>
  </w:num>
  <w:num w:numId="9">
    <w:abstractNumId w:val="4"/>
  </w:num>
  <w:num w:numId="10">
    <w:abstractNumId w:val="0"/>
  </w:num>
  <w:num w:numId="11">
    <w:abstractNumId w:val="2"/>
  </w:num>
  <w:num w:numId="12">
    <w:abstractNumId w:val="7"/>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20E27B3"/>
    <w:rsid w:val="032C5770"/>
    <w:rsid w:val="0352627C"/>
    <w:rsid w:val="03FC0C17"/>
    <w:rsid w:val="04137C88"/>
    <w:rsid w:val="045042DE"/>
    <w:rsid w:val="046F64A5"/>
    <w:rsid w:val="04B02D72"/>
    <w:rsid w:val="06400C05"/>
    <w:rsid w:val="0745663A"/>
    <w:rsid w:val="07683368"/>
    <w:rsid w:val="08AF5136"/>
    <w:rsid w:val="08B909EB"/>
    <w:rsid w:val="08C0303F"/>
    <w:rsid w:val="08F73AFF"/>
    <w:rsid w:val="0A934B7D"/>
    <w:rsid w:val="0AB16165"/>
    <w:rsid w:val="0ADC0554"/>
    <w:rsid w:val="0AEC1FBC"/>
    <w:rsid w:val="0BD93F8C"/>
    <w:rsid w:val="0C4247A1"/>
    <w:rsid w:val="0C437935"/>
    <w:rsid w:val="0CC143A0"/>
    <w:rsid w:val="0CCE7DF8"/>
    <w:rsid w:val="0D4F1A3A"/>
    <w:rsid w:val="0D6301B6"/>
    <w:rsid w:val="0DDD0F23"/>
    <w:rsid w:val="0E041CB4"/>
    <w:rsid w:val="0E050F30"/>
    <w:rsid w:val="10211C2E"/>
    <w:rsid w:val="10B506EB"/>
    <w:rsid w:val="11614015"/>
    <w:rsid w:val="11B11ADC"/>
    <w:rsid w:val="129D59D4"/>
    <w:rsid w:val="12EB6ADC"/>
    <w:rsid w:val="13C244F2"/>
    <w:rsid w:val="13CE75C4"/>
    <w:rsid w:val="140E52AD"/>
    <w:rsid w:val="143603B6"/>
    <w:rsid w:val="14B4509C"/>
    <w:rsid w:val="15324AB7"/>
    <w:rsid w:val="157E4282"/>
    <w:rsid w:val="160C3730"/>
    <w:rsid w:val="17E16027"/>
    <w:rsid w:val="17FA09E4"/>
    <w:rsid w:val="18120651"/>
    <w:rsid w:val="191B541E"/>
    <w:rsid w:val="199D5748"/>
    <w:rsid w:val="19DD70C1"/>
    <w:rsid w:val="1A7172E1"/>
    <w:rsid w:val="1A78680F"/>
    <w:rsid w:val="1AB27FD4"/>
    <w:rsid w:val="1B537FAB"/>
    <w:rsid w:val="1B687D51"/>
    <w:rsid w:val="1C6542B2"/>
    <w:rsid w:val="1C6A4BF8"/>
    <w:rsid w:val="1D1D3289"/>
    <w:rsid w:val="1DB22A9C"/>
    <w:rsid w:val="1E2106D1"/>
    <w:rsid w:val="1E8D1AAC"/>
    <w:rsid w:val="1EBE6975"/>
    <w:rsid w:val="1F646F04"/>
    <w:rsid w:val="1F9D0E06"/>
    <w:rsid w:val="1FBD1ABA"/>
    <w:rsid w:val="1FD55AE8"/>
    <w:rsid w:val="209D5060"/>
    <w:rsid w:val="20E950C5"/>
    <w:rsid w:val="21D32B8D"/>
    <w:rsid w:val="21F962B2"/>
    <w:rsid w:val="22FC06E3"/>
    <w:rsid w:val="24057FFB"/>
    <w:rsid w:val="24140B3E"/>
    <w:rsid w:val="259957EC"/>
    <w:rsid w:val="260B6710"/>
    <w:rsid w:val="26A42548"/>
    <w:rsid w:val="26D9199B"/>
    <w:rsid w:val="272B7C0B"/>
    <w:rsid w:val="27452B8C"/>
    <w:rsid w:val="275A7663"/>
    <w:rsid w:val="279C4099"/>
    <w:rsid w:val="289A71A7"/>
    <w:rsid w:val="29083E60"/>
    <w:rsid w:val="29B63A0A"/>
    <w:rsid w:val="2A1D1B25"/>
    <w:rsid w:val="2AEF25C6"/>
    <w:rsid w:val="2B0262B8"/>
    <w:rsid w:val="2D102550"/>
    <w:rsid w:val="2D171859"/>
    <w:rsid w:val="2E2C3250"/>
    <w:rsid w:val="2ED83DA6"/>
    <w:rsid w:val="2EF06FB2"/>
    <w:rsid w:val="2EF30C78"/>
    <w:rsid w:val="2F7E02C0"/>
    <w:rsid w:val="2F89581B"/>
    <w:rsid w:val="2FBD3F29"/>
    <w:rsid w:val="303C7BDB"/>
    <w:rsid w:val="30AA70B7"/>
    <w:rsid w:val="30BF083E"/>
    <w:rsid w:val="316F7BD4"/>
    <w:rsid w:val="31EA6791"/>
    <w:rsid w:val="32292413"/>
    <w:rsid w:val="32B75B6C"/>
    <w:rsid w:val="34713B2D"/>
    <w:rsid w:val="3488303F"/>
    <w:rsid w:val="34C21990"/>
    <w:rsid w:val="359E14C1"/>
    <w:rsid w:val="360A789F"/>
    <w:rsid w:val="366C1F64"/>
    <w:rsid w:val="37192BB2"/>
    <w:rsid w:val="37FD0684"/>
    <w:rsid w:val="39FB4108"/>
    <w:rsid w:val="3B06367F"/>
    <w:rsid w:val="3B4E19A8"/>
    <w:rsid w:val="3B7518FD"/>
    <w:rsid w:val="3BBD2E75"/>
    <w:rsid w:val="3BD7776B"/>
    <w:rsid w:val="3E051C88"/>
    <w:rsid w:val="3ECC4BE8"/>
    <w:rsid w:val="3F816D84"/>
    <w:rsid w:val="40192383"/>
    <w:rsid w:val="402F1A51"/>
    <w:rsid w:val="4041787C"/>
    <w:rsid w:val="42D52692"/>
    <w:rsid w:val="43B1111A"/>
    <w:rsid w:val="441E0FD5"/>
    <w:rsid w:val="44404107"/>
    <w:rsid w:val="447D6A17"/>
    <w:rsid w:val="46186BB2"/>
    <w:rsid w:val="463251D1"/>
    <w:rsid w:val="46D41D51"/>
    <w:rsid w:val="478D5278"/>
    <w:rsid w:val="47D74267"/>
    <w:rsid w:val="486E2258"/>
    <w:rsid w:val="48CE65F4"/>
    <w:rsid w:val="490B77B8"/>
    <w:rsid w:val="492A3986"/>
    <w:rsid w:val="49956E69"/>
    <w:rsid w:val="4A016A84"/>
    <w:rsid w:val="4A1E3DC9"/>
    <w:rsid w:val="4B0F7224"/>
    <w:rsid w:val="4C6E4F06"/>
    <w:rsid w:val="4E422279"/>
    <w:rsid w:val="4E5530CC"/>
    <w:rsid w:val="506811F0"/>
    <w:rsid w:val="50E44BFB"/>
    <w:rsid w:val="51323E6D"/>
    <w:rsid w:val="5172486F"/>
    <w:rsid w:val="517331D1"/>
    <w:rsid w:val="518E6791"/>
    <w:rsid w:val="51EB2461"/>
    <w:rsid w:val="51FF10C0"/>
    <w:rsid w:val="53247EF5"/>
    <w:rsid w:val="53A51416"/>
    <w:rsid w:val="53D71BAD"/>
    <w:rsid w:val="540E6C5A"/>
    <w:rsid w:val="54A74EB5"/>
    <w:rsid w:val="54DA0AD6"/>
    <w:rsid w:val="55DF79A7"/>
    <w:rsid w:val="564E5D25"/>
    <w:rsid w:val="56634B44"/>
    <w:rsid w:val="56931BEC"/>
    <w:rsid w:val="56CE6A8E"/>
    <w:rsid w:val="570023F4"/>
    <w:rsid w:val="58DF5C23"/>
    <w:rsid w:val="595371D3"/>
    <w:rsid w:val="59AA2AE2"/>
    <w:rsid w:val="59C23FFD"/>
    <w:rsid w:val="5A0E3BCE"/>
    <w:rsid w:val="5A466BC8"/>
    <w:rsid w:val="5A81521A"/>
    <w:rsid w:val="5B980404"/>
    <w:rsid w:val="5BDB61ED"/>
    <w:rsid w:val="5C147E54"/>
    <w:rsid w:val="5E8250F4"/>
    <w:rsid w:val="5EA615D3"/>
    <w:rsid w:val="6013139C"/>
    <w:rsid w:val="60291E96"/>
    <w:rsid w:val="61204966"/>
    <w:rsid w:val="61C12377"/>
    <w:rsid w:val="61CF1286"/>
    <w:rsid w:val="6297146B"/>
    <w:rsid w:val="62AE701F"/>
    <w:rsid w:val="63092CDD"/>
    <w:rsid w:val="63501A48"/>
    <w:rsid w:val="63EC1DBB"/>
    <w:rsid w:val="64A261C1"/>
    <w:rsid w:val="65B958B8"/>
    <w:rsid w:val="65DB6AA5"/>
    <w:rsid w:val="65DB6F70"/>
    <w:rsid w:val="661E3257"/>
    <w:rsid w:val="664916BB"/>
    <w:rsid w:val="66A45FF8"/>
    <w:rsid w:val="67B963F3"/>
    <w:rsid w:val="67CD70C1"/>
    <w:rsid w:val="685A2E59"/>
    <w:rsid w:val="6A5D1B30"/>
    <w:rsid w:val="6AA83621"/>
    <w:rsid w:val="6B2B4ABB"/>
    <w:rsid w:val="6BCA0AC3"/>
    <w:rsid w:val="6BF016C9"/>
    <w:rsid w:val="6BF72930"/>
    <w:rsid w:val="6C154805"/>
    <w:rsid w:val="6D9B0F82"/>
    <w:rsid w:val="6DB872A1"/>
    <w:rsid w:val="6DC17F95"/>
    <w:rsid w:val="6E106458"/>
    <w:rsid w:val="6E442EAE"/>
    <w:rsid w:val="6F1E7073"/>
    <w:rsid w:val="6F6B3833"/>
    <w:rsid w:val="6FD927D6"/>
    <w:rsid w:val="6FF45285"/>
    <w:rsid w:val="6FF81483"/>
    <w:rsid w:val="70460C14"/>
    <w:rsid w:val="70A1776C"/>
    <w:rsid w:val="70F968C9"/>
    <w:rsid w:val="711E0C0B"/>
    <w:rsid w:val="716D30CB"/>
    <w:rsid w:val="72132F1B"/>
    <w:rsid w:val="724D391D"/>
    <w:rsid w:val="72667A54"/>
    <w:rsid w:val="7277686B"/>
    <w:rsid w:val="727B7B76"/>
    <w:rsid w:val="731871FF"/>
    <w:rsid w:val="73B27495"/>
    <w:rsid w:val="73D13601"/>
    <w:rsid w:val="73FB3929"/>
    <w:rsid w:val="749F2B1B"/>
    <w:rsid w:val="74D014A3"/>
    <w:rsid w:val="74FE75C0"/>
    <w:rsid w:val="751226C4"/>
    <w:rsid w:val="75F973DD"/>
    <w:rsid w:val="77B34C9B"/>
    <w:rsid w:val="793C6AE9"/>
    <w:rsid w:val="79404263"/>
    <w:rsid w:val="79E91CF9"/>
    <w:rsid w:val="7A651673"/>
    <w:rsid w:val="7BEC215B"/>
    <w:rsid w:val="7C7D76F6"/>
    <w:rsid w:val="7CCE1B6A"/>
    <w:rsid w:val="7CD40FB9"/>
    <w:rsid w:val="7D267C0E"/>
    <w:rsid w:val="7DEB0BA7"/>
    <w:rsid w:val="7E013E51"/>
    <w:rsid w:val="7EAA13BE"/>
    <w:rsid w:val="7EBC247B"/>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4</Pages>
  <Words>1342</Words>
  <Characters>7655</Characters>
  <Lines>63</Lines>
  <Paragraphs>17</Paragraphs>
  <TotalTime>2</TotalTime>
  <ScaleCrop>false</ScaleCrop>
  <LinksUpToDate>false</LinksUpToDate>
  <CharactersWithSpaces>8980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Luyang Zhao-CMCC</cp:lastModifiedBy>
  <dcterms:modified xsi:type="dcterms:W3CDTF">2023-03-03T09:43:44Z</dcterms:modified>
  <dc:title>Status Report to TSG</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E4AA36B9BB504613B79B686E55D76B8D</vt:lpwstr>
  </property>
</Properties>
</file>